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A2AED" w14:textId="64847C21" w:rsidR="00D7527D" w:rsidRPr="004367CF" w:rsidRDefault="0061146A" w:rsidP="00D96CE5">
      <w:pPr>
        <w:pStyle w:val="Title"/>
        <w:pBdr>
          <w:bottom w:val="single" w:sz="4" w:space="12" w:color="47D459" w:themeColor="accent3" w:themeTint="99"/>
        </w:pBdr>
        <w:spacing w:before="240"/>
        <w:jc w:val="center"/>
        <w:rPr>
          <w:sz w:val="96"/>
          <w:szCs w:val="96"/>
        </w:rPr>
      </w:pPr>
      <w:r w:rsidRPr="004367CF">
        <w:rPr>
          <w:sz w:val="96"/>
          <w:szCs w:val="160"/>
        </w:rPr>
        <w:t xml:space="preserve">how the wealthy reduce their taxes </w:t>
      </w:r>
      <w:r w:rsidRPr="004367CF">
        <w:rPr>
          <w:sz w:val="48"/>
        </w:rPr>
        <w:t>(and what we can learn from them)</w:t>
      </w:r>
    </w:p>
    <w:p w14:paraId="3D08134E" w14:textId="77777777" w:rsidR="0061146A" w:rsidRPr="0061146A" w:rsidRDefault="0061146A" w:rsidP="0061146A">
      <w:pPr>
        <w:spacing w:before="480" w:after="480"/>
        <w:jc w:val="center"/>
        <w:rPr>
          <w:rStyle w:val="IntenseEmphasis"/>
          <w:i/>
          <w:iCs/>
        </w:rPr>
      </w:pPr>
      <w:r w:rsidRPr="0061146A">
        <w:rPr>
          <w:rStyle w:val="IntenseEmphasis"/>
          <w:i/>
          <w:iCs/>
        </w:rPr>
        <w:t>If you’ve ever wondered how wealthy individuals legally pay less in taxes, the answer comes down to a mix of strategy, timing, and using the tax code to their advantage. While these approaches aren’t exclusive to billionaires, they often require careful planning and professional guidance to do correctly.</w:t>
      </w:r>
    </w:p>
    <w:p w14:paraId="79D95ED0" w14:textId="175FD83D" w:rsidR="0061146A" w:rsidRDefault="0061146A" w:rsidP="00F15529">
      <w:pPr>
        <w:spacing w:after="120"/>
      </w:pPr>
      <w:r w:rsidRPr="0061146A">
        <w:t>Below are some of the most common strategies</w:t>
      </w:r>
      <w:r w:rsidR="00882AF7">
        <w:t xml:space="preserve"> to explore further</w:t>
      </w:r>
      <w:r>
        <w:t xml:space="preserve">. You may be able to start using a few of these </w:t>
      </w:r>
      <w:r w:rsidR="00882AF7">
        <w:t>now</w:t>
      </w:r>
      <w:r>
        <w:t>, even if you’re not “wealthy” (yet).</w:t>
      </w:r>
    </w:p>
    <w:p w14:paraId="2268E74B" w14:textId="77777777" w:rsidR="00F15529" w:rsidRDefault="00F15529" w:rsidP="00F15529">
      <w:pPr>
        <w:spacing w:after="120"/>
      </w:pPr>
    </w:p>
    <w:p w14:paraId="1FD931FD" w14:textId="5D3DD12C" w:rsidR="00F15529" w:rsidRPr="00F15529" w:rsidRDefault="00F15529" w:rsidP="004367CF">
      <w:pPr>
        <w:pStyle w:val="Heading4"/>
        <w:pBdr>
          <w:top w:val="none" w:sz="0" w:space="0" w:color="auto"/>
        </w:pBdr>
        <w:jc w:val="center"/>
        <w:rPr>
          <w:b/>
          <w:bCs/>
          <w:color w:val="E97132" w:themeColor="accent2"/>
          <w:sz w:val="32"/>
          <w:szCs w:val="24"/>
        </w:rPr>
      </w:pPr>
      <w:r w:rsidRPr="00F15529">
        <w:rPr>
          <w:b/>
          <w:bCs/>
          <w:color w:val="E97132" w:themeColor="accent2"/>
          <w:sz w:val="32"/>
          <w:szCs w:val="24"/>
        </w:rPr>
        <w:t>Drop below the article to get a short summary and glossary of terms!</w:t>
      </w:r>
    </w:p>
    <w:p w14:paraId="2AAD7EA5" w14:textId="77777777" w:rsidR="00F15529" w:rsidRPr="00D96CE5" w:rsidRDefault="00F15529" w:rsidP="00F15529"/>
    <w:p w14:paraId="0628FD89" w14:textId="77777777" w:rsidR="00D96CE5" w:rsidRPr="00D96CE5" w:rsidRDefault="00D96CE5" w:rsidP="004367CF">
      <w:pPr>
        <w:pStyle w:val="Heading3"/>
      </w:pPr>
      <w:r w:rsidRPr="00D96CE5">
        <w:t>1. Favoring Capital Gains Over Ordinary Income</w:t>
      </w:r>
    </w:p>
    <w:p w14:paraId="6D931196" w14:textId="77777777" w:rsidR="00D96CE5" w:rsidRDefault="00D96CE5" w:rsidP="00D96CE5">
      <w:pPr>
        <w:rPr>
          <w:szCs w:val="26"/>
        </w:rPr>
      </w:pPr>
      <w:r w:rsidRPr="00D96CE5">
        <w:rPr>
          <w:szCs w:val="26"/>
        </w:rPr>
        <w:t>Instead of taking large salaries taxed at higher ordinary income rates, many wealthy people generate income through investments. Long-term capital gains (from selling assets held over a year) are taxed at lower rates than wages, making this a cornerstone of wealth-building.</w:t>
      </w:r>
    </w:p>
    <w:p w14:paraId="03A286A4" w14:textId="77777777" w:rsidR="00D96CE5" w:rsidRPr="00D96CE5" w:rsidRDefault="00D96CE5" w:rsidP="004367CF">
      <w:pPr>
        <w:pStyle w:val="Heading3"/>
      </w:pPr>
      <w:r w:rsidRPr="00D96CE5">
        <w:lastRenderedPageBreak/>
        <w:t>2. Using Tax-Advantaged Accounts</w:t>
      </w:r>
    </w:p>
    <w:p w14:paraId="0D140637" w14:textId="77777777" w:rsidR="00D96CE5" w:rsidRPr="00D96CE5" w:rsidRDefault="00D96CE5" w:rsidP="00D96CE5">
      <w:r w:rsidRPr="00D96CE5">
        <w:t>While billionaires may not need an IRA or 401(k), they still use tax-deferred or tax-free accounts where possible. For everyone else, maxing out retirement accounts, HSAs, and 529 education plans can reduce taxable income now and grow your savings more efficiently.</w:t>
      </w:r>
    </w:p>
    <w:p w14:paraId="16DA03D5" w14:textId="77777777" w:rsidR="00D96CE5" w:rsidRPr="00D96CE5" w:rsidRDefault="00D96CE5" w:rsidP="004367CF">
      <w:pPr>
        <w:pStyle w:val="Heading3"/>
      </w:pPr>
      <w:r w:rsidRPr="00D96CE5">
        <w:t>3. Strategic Losses: Tax-Loss Harvesting</w:t>
      </w:r>
    </w:p>
    <w:p w14:paraId="44D1B34F" w14:textId="77777777" w:rsidR="00D96CE5" w:rsidRPr="00D96CE5" w:rsidRDefault="00D96CE5" w:rsidP="00D96CE5">
      <w:r w:rsidRPr="00D96CE5">
        <w:t xml:space="preserve">Selling underperforming investments to offset gains—called </w:t>
      </w:r>
      <w:r w:rsidRPr="00D96CE5">
        <w:rPr>
          <w:i/>
          <w:iCs/>
        </w:rPr>
        <w:t>tax-loss harvesting</w:t>
      </w:r>
      <w:r w:rsidRPr="00D96CE5">
        <w:t xml:space="preserve">—is a common tactic. Losses can also be carried forward </w:t>
      </w:r>
      <w:proofErr w:type="gramStart"/>
      <w:r w:rsidRPr="00D96CE5">
        <w:t>to</w:t>
      </w:r>
      <w:proofErr w:type="gramEnd"/>
      <w:r w:rsidRPr="00D96CE5">
        <w:t xml:space="preserve"> future years, softening the impact of future capital gains.</w:t>
      </w:r>
    </w:p>
    <w:p w14:paraId="01C9F48B" w14:textId="77777777" w:rsidR="00D96CE5" w:rsidRPr="00D96CE5" w:rsidRDefault="00D96CE5" w:rsidP="004367CF">
      <w:pPr>
        <w:pStyle w:val="Heading3"/>
      </w:pPr>
      <w:r w:rsidRPr="00D96CE5">
        <w:t>4. Leveraging Trusts and Estate Planning</w:t>
      </w:r>
    </w:p>
    <w:p w14:paraId="3BB739FC" w14:textId="77777777" w:rsidR="00D96CE5" w:rsidRPr="00D96CE5" w:rsidRDefault="00D96CE5" w:rsidP="00D96CE5">
      <w:r w:rsidRPr="00D96CE5">
        <w:t>Tools like Grantor Retained Annuity Trusts (GRATs), dynasty trusts, and charitable remainder trusts can reduce estate and gift taxes while supporting heirs or charities. These require expert legal and tax advice to structure properly.</w:t>
      </w:r>
    </w:p>
    <w:p w14:paraId="2D5358F0" w14:textId="77777777" w:rsidR="00D96CE5" w:rsidRPr="00D96CE5" w:rsidRDefault="00D96CE5" w:rsidP="004367CF">
      <w:pPr>
        <w:pStyle w:val="Heading3"/>
      </w:pPr>
      <w:r w:rsidRPr="00D96CE5">
        <w:t>5. Borrowing Against Assets Instead of Selling</w:t>
      </w:r>
    </w:p>
    <w:p w14:paraId="7187ADC0" w14:textId="77777777" w:rsidR="00D96CE5" w:rsidRPr="00D96CE5" w:rsidRDefault="00D96CE5" w:rsidP="00D96CE5">
      <w:r w:rsidRPr="00D96CE5">
        <w:t xml:space="preserve">Rather than selling investments and triggering taxable gains, some wealthy individuals borrow against their portfolios. The borrowed funds are tax-free, and the investments remain in place to keep growing—a method often referred to as part of the </w:t>
      </w:r>
      <w:r w:rsidRPr="00D96CE5">
        <w:rPr>
          <w:i/>
          <w:iCs/>
        </w:rPr>
        <w:t>“Buy-Borrow-Die”</w:t>
      </w:r>
      <w:r w:rsidRPr="00D96CE5">
        <w:t xml:space="preserve"> strategy.</w:t>
      </w:r>
    </w:p>
    <w:p w14:paraId="0BF5FE52" w14:textId="77777777" w:rsidR="00D96CE5" w:rsidRPr="00D96CE5" w:rsidRDefault="00D96CE5" w:rsidP="004367CF">
      <w:pPr>
        <w:pStyle w:val="Heading3"/>
      </w:pPr>
      <w:r w:rsidRPr="00D96CE5">
        <w:t>6. Offshore Accounts and Tax Havens (Fully Disclosed)</w:t>
      </w:r>
    </w:p>
    <w:p w14:paraId="772A56BE" w14:textId="77777777" w:rsidR="00D96CE5" w:rsidRDefault="00D96CE5" w:rsidP="00D96CE5">
      <w:r w:rsidRPr="00D96CE5">
        <w:t>Some use international accounts or tax-friendly jurisdictions to reduce taxes on certain types of income. This is legal when fully disclosed but carries heavy penalties for non-compliance.</w:t>
      </w:r>
    </w:p>
    <w:p w14:paraId="604A6165" w14:textId="77777777" w:rsidR="00763A61" w:rsidRDefault="00763A61" w:rsidP="00D96CE5"/>
    <w:p w14:paraId="1CEC1CFD" w14:textId="03476980" w:rsidR="00D96CE5" w:rsidRPr="004367CF" w:rsidRDefault="00D96CE5" w:rsidP="00D96CE5">
      <w:pPr>
        <w:pStyle w:val="Heading4"/>
        <w:rPr>
          <w:b/>
          <w:bCs/>
          <w:color w:val="E97132" w:themeColor="accent2"/>
          <w:sz w:val="40"/>
          <w:szCs w:val="32"/>
        </w:rPr>
      </w:pPr>
      <w:r w:rsidRPr="004367CF">
        <w:rPr>
          <w:b/>
          <w:bCs/>
          <w:color w:val="E97132" w:themeColor="accent2"/>
          <w:sz w:val="40"/>
          <w:szCs w:val="32"/>
        </w:rPr>
        <w:lastRenderedPageBreak/>
        <w:t>What the Average Investor Can Do</w:t>
      </w:r>
    </w:p>
    <w:p w14:paraId="2920E064" w14:textId="77777777" w:rsidR="00D96CE5" w:rsidRPr="00D96CE5" w:rsidRDefault="00D96CE5" w:rsidP="00D96CE5">
      <w:r w:rsidRPr="00D96CE5">
        <w:t xml:space="preserve">While not all strategies are practical for everyone, you </w:t>
      </w:r>
      <w:r w:rsidRPr="00D96CE5">
        <w:rPr>
          <w:i/>
          <w:iCs/>
        </w:rPr>
        <w:t>can</w:t>
      </w:r>
      <w:r w:rsidRPr="00D96CE5">
        <w:t xml:space="preserve"> borrow some principles:</w:t>
      </w:r>
    </w:p>
    <w:p w14:paraId="6D4D24EE" w14:textId="77777777" w:rsidR="00D96CE5" w:rsidRPr="00D96CE5" w:rsidRDefault="00D96CE5" w:rsidP="00D96CE5">
      <w:pPr>
        <w:pStyle w:val="ListParagraph"/>
      </w:pPr>
      <w:r w:rsidRPr="00D96CE5">
        <w:t>Max out retirement and HSA contributions.</w:t>
      </w:r>
    </w:p>
    <w:p w14:paraId="438EBF0A" w14:textId="77777777" w:rsidR="00D96CE5" w:rsidRPr="00D96CE5" w:rsidRDefault="00D96CE5" w:rsidP="00D96CE5">
      <w:pPr>
        <w:pStyle w:val="ListParagraph"/>
      </w:pPr>
      <w:r w:rsidRPr="00D96CE5">
        <w:t>Hold investments for over a year to qualify for long-term capital gains rates.</w:t>
      </w:r>
    </w:p>
    <w:p w14:paraId="5643B0C8" w14:textId="77777777" w:rsidR="00D96CE5" w:rsidRPr="00D96CE5" w:rsidRDefault="00D96CE5" w:rsidP="00D96CE5">
      <w:pPr>
        <w:pStyle w:val="ListParagraph"/>
      </w:pPr>
      <w:r w:rsidRPr="00D96CE5">
        <w:t>Use tax-loss harvesting if you invest in taxable accounts.</w:t>
      </w:r>
    </w:p>
    <w:p w14:paraId="7DE1D3CD" w14:textId="77777777" w:rsidR="00D96CE5" w:rsidRPr="00D96CE5" w:rsidRDefault="00D96CE5" w:rsidP="00D96CE5">
      <w:pPr>
        <w:pStyle w:val="ListParagraph"/>
      </w:pPr>
      <w:r w:rsidRPr="00D96CE5">
        <w:t>Consider starting with a local CPA or financial planner who understands tax-efficient investing.</w:t>
      </w:r>
    </w:p>
    <w:p w14:paraId="5B8755EF" w14:textId="31203660" w:rsidR="00D96CE5" w:rsidRPr="00D96CE5" w:rsidRDefault="00D96CE5" w:rsidP="00D96CE5">
      <w:pPr>
        <w:spacing w:after="200"/>
        <w:rPr>
          <w:caps/>
          <w:spacing w:val="15"/>
          <w:szCs w:val="22"/>
        </w:rPr>
      </w:pPr>
    </w:p>
    <w:p w14:paraId="71F89267" w14:textId="77777777" w:rsidR="00D96CE5" w:rsidRPr="00D96CE5" w:rsidRDefault="00D96CE5" w:rsidP="004367CF">
      <w:pPr>
        <w:pStyle w:val="Heading3"/>
      </w:pPr>
      <w:r w:rsidRPr="00D96CE5">
        <w:t>A Word of Caution</w:t>
      </w:r>
    </w:p>
    <w:p w14:paraId="68157ECA" w14:textId="77777777" w:rsidR="00D96CE5" w:rsidRPr="00D96CE5" w:rsidRDefault="00D96CE5" w:rsidP="00D96CE5">
      <w:r w:rsidRPr="00D96CE5">
        <w:t>Many of these strategies sit in complex areas of tax law. Even small mistakes—like forgetting a disclosure—can result in big fines or legal trouble. That’s why the wealthy rarely do this alone; they have teams of accountants, tax attorneys, and financial planners.</w:t>
      </w:r>
    </w:p>
    <w:p w14:paraId="7B16F82B" w14:textId="77777777" w:rsidR="00D96CE5" w:rsidRPr="00D96CE5" w:rsidRDefault="00D96CE5" w:rsidP="00D96CE5">
      <w:proofErr w:type="gramStart"/>
      <w:r w:rsidRPr="00D96CE5">
        <w:rPr>
          <w:b/>
          <w:bCs/>
        </w:rPr>
        <w:t>Bottom line</w:t>
      </w:r>
      <w:proofErr w:type="gramEnd"/>
      <w:r w:rsidRPr="00D96CE5">
        <w:rPr>
          <w:b/>
          <w:bCs/>
        </w:rPr>
        <w:t>:</w:t>
      </w:r>
      <w:r w:rsidRPr="00D96CE5">
        <w:t xml:space="preserve"> Tax efficiency isn’t about avoiding </w:t>
      </w:r>
      <w:proofErr w:type="gramStart"/>
      <w:r w:rsidRPr="00D96CE5">
        <w:t>taxes—</w:t>
      </w:r>
      <w:proofErr w:type="gramEnd"/>
      <w:r w:rsidRPr="00D96CE5">
        <w:t xml:space="preserve">it’s about using the rules to your advantage, within the law. Whether you’re earning $80,000 or $8 million, </w:t>
      </w:r>
      <w:proofErr w:type="gramStart"/>
      <w:r w:rsidRPr="00D96CE5">
        <w:t>planning ahead</w:t>
      </w:r>
      <w:proofErr w:type="gramEnd"/>
      <w:r w:rsidRPr="00D96CE5">
        <w:t xml:space="preserve"> is the first step toward keeping more of what you earn.</w:t>
      </w:r>
    </w:p>
    <w:p w14:paraId="281824A9" w14:textId="77777777" w:rsidR="00F15529" w:rsidRPr="00D96CE5" w:rsidRDefault="00F15529" w:rsidP="0061146A"/>
    <w:p w14:paraId="6BE678D6" w14:textId="34E0D488" w:rsidR="00AE686D" w:rsidRDefault="00F15529" w:rsidP="00DF635A">
      <w:pPr>
        <w:pStyle w:val="Title"/>
        <w:jc w:val="center"/>
      </w:pPr>
      <w:r>
        <w:t>Wondering how real estate plays into your financial plans? let’s talk strategies.</w:t>
      </w:r>
    </w:p>
    <w:p w14:paraId="52EF3E38" w14:textId="30463F19" w:rsidR="00F15529" w:rsidRDefault="00F15529">
      <w:pPr>
        <w:rPr>
          <w:caps/>
          <w:color w:val="124F1A" w:themeColor="accent3" w:themeShade="BF"/>
          <w:spacing w:val="15"/>
        </w:rPr>
      </w:pPr>
      <w:r>
        <w:br w:type="page"/>
      </w:r>
    </w:p>
    <w:p w14:paraId="3C2B0A57" w14:textId="360D58E4" w:rsidR="00F15529" w:rsidRPr="00F15529" w:rsidRDefault="00F15529" w:rsidP="00F15529">
      <w:pPr>
        <w:pStyle w:val="Title"/>
        <w:jc w:val="center"/>
        <w:rPr>
          <w:sz w:val="72"/>
          <w:szCs w:val="72"/>
        </w:rPr>
      </w:pPr>
      <w:r w:rsidRPr="00F15529">
        <w:rPr>
          <w:sz w:val="72"/>
          <w:szCs w:val="72"/>
        </w:rPr>
        <w:lastRenderedPageBreak/>
        <w:t xml:space="preserve">Summary &amp; Glossary </w:t>
      </w:r>
      <w:r>
        <w:rPr>
          <w:sz w:val="72"/>
          <w:szCs w:val="72"/>
        </w:rPr>
        <w:br/>
      </w:r>
      <w:r w:rsidRPr="00F15529">
        <w:rPr>
          <w:sz w:val="72"/>
          <w:szCs w:val="72"/>
        </w:rPr>
        <w:t>of Key Tax Terms</w:t>
      </w:r>
    </w:p>
    <w:p w14:paraId="5E4381B7" w14:textId="77777777" w:rsidR="005D5FBF" w:rsidRPr="005D5FBF" w:rsidRDefault="005D5FBF" w:rsidP="005D5FBF">
      <w:pPr>
        <w:pStyle w:val="Heading2"/>
      </w:pPr>
      <w:r w:rsidRPr="005D5FBF">
        <w:t>Capital Gains</w:t>
      </w:r>
    </w:p>
    <w:p w14:paraId="5ED42843" w14:textId="77777777" w:rsidR="005D5FBF" w:rsidRPr="005D5FBF" w:rsidRDefault="005D5FBF" w:rsidP="005D5FBF">
      <w:r w:rsidRPr="005D5FBF">
        <w:t>The profit from selling an investment or property for more than you paid for it. Long-term capital gains (on assets held over a year) are taxed at preferential rates.</w:t>
      </w:r>
    </w:p>
    <w:p w14:paraId="0C1989EE" w14:textId="77777777" w:rsidR="005D5FBF" w:rsidRPr="005D5FBF" w:rsidRDefault="005D5FBF" w:rsidP="005D5FBF">
      <w:pPr>
        <w:pStyle w:val="Heading5"/>
      </w:pPr>
      <w:r w:rsidRPr="005D5FBF">
        <w:t>Why it matters: Lower rates for long-term gains can significantly reduce your tax bill if you plan the timing of sales.</w:t>
      </w:r>
    </w:p>
    <w:p w14:paraId="4ACD1F0A" w14:textId="77777777" w:rsidR="005D5FBF" w:rsidRPr="005D5FBF" w:rsidRDefault="005D5FBF" w:rsidP="005D5FBF">
      <w:pPr>
        <w:pStyle w:val="Heading2"/>
      </w:pPr>
      <w:r w:rsidRPr="005D5FBF">
        <w:t>401(k)</w:t>
      </w:r>
    </w:p>
    <w:p w14:paraId="3A2CA996" w14:textId="77777777" w:rsidR="005D5FBF" w:rsidRPr="005D5FBF" w:rsidRDefault="005D5FBF" w:rsidP="005D5FBF">
      <w:r w:rsidRPr="005D5FBF">
        <w:t>An employer-sponsored retirement plan allowing pre-tax contributions, which grow tax-deferred until withdrawal.</w:t>
      </w:r>
    </w:p>
    <w:p w14:paraId="5E72A8FF" w14:textId="77777777" w:rsidR="005D5FBF" w:rsidRPr="005D5FBF" w:rsidRDefault="005D5FBF" w:rsidP="005D5FBF">
      <w:pPr>
        <w:pStyle w:val="Heading5"/>
      </w:pPr>
      <w:r w:rsidRPr="005D5FBF">
        <w:t>Why it matters: Reduces current taxable income and helps build retirement savings.</w:t>
      </w:r>
    </w:p>
    <w:p w14:paraId="6FCA1FBE" w14:textId="77777777" w:rsidR="005D5FBF" w:rsidRPr="005D5FBF" w:rsidRDefault="005D5FBF" w:rsidP="005D5FBF">
      <w:pPr>
        <w:pStyle w:val="Heading2"/>
      </w:pPr>
      <w:r w:rsidRPr="005D5FBF">
        <w:t>IRA (Individual Retirement Account)</w:t>
      </w:r>
    </w:p>
    <w:p w14:paraId="3830A573" w14:textId="77777777" w:rsidR="005D5FBF" w:rsidRPr="005D5FBF" w:rsidRDefault="005D5FBF" w:rsidP="005D5FBF">
      <w:r w:rsidRPr="005D5FBF">
        <w:t xml:space="preserve">A tax-advantaged retirement account; Traditional IRAs allow pre-tax </w:t>
      </w:r>
      <w:proofErr w:type="gramStart"/>
      <w:r w:rsidRPr="005D5FBF">
        <w:t>contributions,</w:t>
      </w:r>
      <w:proofErr w:type="gramEnd"/>
      <w:r w:rsidRPr="005D5FBF">
        <w:t xml:space="preserve"> Roth IRAs offer tax-free withdrawals.</w:t>
      </w:r>
    </w:p>
    <w:p w14:paraId="3D47F622" w14:textId="77777777" w:rsidR="005D5FBF" w:rsidRPr="005D5FBF" w:rsidRDefault="005D5FBF" w:rsidP="005D5FBF">
      <w:pPr>
        <w:pStyle w:val="Heading5"/>
      </w:pPr>
      <w:r w:rsidRPr="005D5FBF">
        <w:t>Why it matters: Choosing the right type can optimize your tax situation now and in retirement.</w:t>
      </w:r>
    </w:p>
    <w:p w14:paraId="0CBA4987" w14:textId="77777777" w:rsidR="005D5FBF" w:rsidRPr="005D5FBF" w:rsidRDefault="005D5FBF" w:rsidP="005D5FBF">
      <w:pPr>
        <w:pStyle w:val="Heading2"/>
      </w:pPr>
      <w:r w:rsidRPr="005D5FBF">
        <w:t>529 Plan</w:t>
      </w:r>
    </w:p>
    <w:p w14:paraId="61A364FB" w14:textId="77777777" w:rsidR="005D5FBF" w:rsidRPr="005D5FBF" w:rsidRDefault="005D5FBF" w:rsidP="005D5FBF">
      <w:r w:rsidRPr="005D5FBF">
        <w:t>A tax-advantaged savings plan for education expenses, with investment growth and withdrawals free from federal tax if used for qualified education costs.</w:t>
      </w:r>
    </w:p>
    <w:p w14:paraId="5465E014" w14:textId="77777777" w:rsidR="005D5FBF" w:rsidRPr="005D5FBF" w:rsidRDefault="005D5FBF" w:rsidP="005D5FBF">
      <w:pPr>
        <w:pStyle w:val="Heading5"/>
      </w:pPr>
      <w:r w:rsidRPr="005D5FBF">
        <w:lastRenderedPageBreak/>
        <w:t>Why it matters: Lets you save for education while enjoying tax-free growth.</w:t>
      </w:r>
    </w:p>
    <w:p w14:paraId="63523282" w14:textId="77777777" w:rsidR="005D5FBF" w:rsidRPr="005D5FBF" w:rsidRDefault="005D5FBF" w:rsidP="005D5FBF">
      <w:pPr>
        <w:pStyle w:val="Heading2"/>
      </w:pPr>
      <w:r w:rsidRPr="005D5FBF">
        <w:t>HSA (Health Savings Account)</w:t>
      </w:r>
    </w:p>
    <w:p w14:paraId="63689DDC" w14:textId="77777777" w:rsidR="005D5FBF" w:rsidRPr="005D5FBF" w:rsidRDefault="005D5FBF" w:rsidP="005D5FBF">
      <w:r w:rsidRPr="005D5FBF">
        <w:t xml:space="preserve">A tax-advantaged account for medical expenses </w:t>
      </w:r>
      <w:proofErr w:type="gramStart"/>
      <w:r w:rsidRPr="005D5FBF">
        <w:t>available</w:t>
      </w:r>
      <w:proofErr w:type="gramEnd"/>
      <w:r w:rsidRPr="005D5FBF">
        <w:t xml:space="preserve"> to those with high-deductible health plans.</w:t>
      </w:r>
    </w:p>
    <w:p w14:paraId="3F7CEBB2" w14:textId="77777777" w:rsidR="005D5FBF" w:rsidRPr="005D5FBF" w:rsidRDefault="005D5FBF" w:rsidP="005D5FBF">
      <w:pPr>
        <w:pStyle w:val="Heading5"/>
      </w:pPr>
      <w:r w:rsidRPr="005D5FBF">
        <w:t>Why it matters: Contributions are tax-deductible, growth is tax-free, and withdrawals for medical expenses are tax-free.</w:t>
      </w:r>
    </w:p>
    <w:p w14:paraId="366ADF49" w14:textId="77777777" w:rsidR="005D5FBF" w:rsidRPr="005D5FBF" w:rsidRDefault="005D5FBF" w:rsidP="005D5FBF">
      <w:pPr>
        <w:pStyle w:val="Heading2"/>
      </w:pPr>
      <w:r w:rsidRPr="005D5FBF">
        <w:t>Tax-Loss Harvesting</w:t>
      </w:r>
    </w:p>
    <w:p w14:paraId="3D04C245" w14:textId="77777777" w:rsidR="005D5FBF" w:rsidRPr="005D5FBF" w:rsidRDefault="005D5FBF" w:rsidP="005D5FBF">
      <w:r w:rsidRPr="005D5FBF">
        <w:t>Selling investments that have dropped in value to offset gains from other investments and reduce taxable income.</w:t>
      </w:r>
    </w:p>
    <w:p w14:paraId="7A9DA73B" w14:textId="77777777" w:rsidR="005D5FBF" w:rsidRPr="005D5FBF" w:rsidRDefault="005D5FBF" w:rsidP="005D5FBF">
      <w:pPr>
        <w:pStyle w:val="Heading5"/>
      </w:pPr>
      <w:r w:rsidRPr="005D5FBF">
        <w:t>Why it matters: Can lower your tax bill and improve after-tax investment returns.</w:t>
      </w:r>
    </w:p>
    <w:p w14:paraId="0D257E4B" w14:textId="77777777" w:rsidR="005D5FBF" w:rsidRPr="005D5FBF" w:rsidRDefault="005D5FBF" w:rsidP="005D5FBF">
      <w:pPr>
        <w:pStyle w:val="Heading2"/>
      </w:pPr>
      <w:r w:rsidRPr="005D5FBF">
        <w:t>Marginal Tax Rate</w:t>
      </w:r>
    </w:p>
    <w:p w14:paraId="726AC076" w14:textId="77777777" w:rsidR="005D5FBF" w:rsidRPr="005D5FBF" w:rsidRDefault="005D5FBF" w:rsidP="005D5FBF">
      <w:r w:rsidRPr="005D5FBF">
        <w:t>The percentage of tax paid on the last dollar of income earned.</w:t>
      </w:r>
    </w:p>
    <w:p w14:paraId="04665812" w14:textId="77777777" w:rsidR="005D5FBF" w:rsidRPr="005D5FBF" w:rsidRDefault="005D5FBF" w:rsidP="005D5FBF">
      <w:pPr>
        <w:pStyle w:val="Heading5"/>
      </w:pPr>
      <w:r w:rsidRPr="005D5FBF">
        <w:t>Why it matters: Understanding your marginal rate helps in planning deductions, deferrals, and withdrawals.</w:t>
      </w:r>
    </w:p>
    <w:p w14:paraId="654D5EE9" w14:textId="77777777" w:rsidR="005D5FBF" w:rsidRPr="005D5FBF" w:rsidRDefault="005D5FBF" w:rsidP="005D5FBF">
      <w:pPr>
        <w:pStyle w:val="Heading2"/>
      </w:pPr>
      <w:r w:rsidRPr="005D5FBF">
        <w:t>Trust</w:t>
      </w:r>
    </w:p>
    <w:p w14:paraId="643F0F92" w14:textId="77777777" w:rsidR="005D5FBF" w:rsidRPr="005D5FBF" w:rsidRDefault="005D5FBF" w:rsidP="005D5FBF">
      <w:r w:rsidRPr="005D5FBF">
        <w:t>A legal arrangement where one party holds property for the benefit of another.</w:t>
      </w:r>
    </w:p>
    <w:p w14:paraId="624548B3" w14:textId="77777777" w:rsidR="005D5FBF" w:rsidRPr="005D5FBF" w:rsidRDefault="005D5FBF" w:rsidP="005D5FBF">
      <w:pPr>
        <w:pStyle w:val="Heading5"/>
      </w:pPr>
      <w:r w:rsidRPr="005D5FBF">
        <w:t>Why it matters: Used for estate planning, minimizing estate taxes, and controlling asset distribution.</w:t>
      </w:r>
    </w:p>
    <w:p w14:paraId="1702F41D" w14:textId="77777777" w:rsidR="005D5FBF" w:rsidRPr="005D5FBF" w:rsidRDefault="005D5FBF" w:rsidP="005D5FBF">
      <w:pPr>
        <w:pStyle w:val="Heading2"/>
      </w:pPr>
      <w:r w:rsidRPr="005D5FBF">
        <w:t>Step-Up in Basis</w:t>
      </w:r>
    </w:p>
    <w:p w14:paraId="675BC464" w14:textId="77777777" w:rsidR="005D5FBF" w:rsidRPr="005D5FBF" w:rsidRDefault="005D5FBF" w:rsidP="005D5FBF">
      <w:r w:rsidRPr="005D5FBF">
        <w:lastRenderedPageBreak/>
        <w:t>A tax provision that resets the cost basis of an inherited asset to its market value at the date of death.</w:t>
      </w:r>
    </w:p>
    <w:p w14:paraId="468A1196" w14:textId="77777777" w:rsidR="005D5FBF" w:rsidRPr="005D5FBF" w:rsidRDefault="005D5FBF" w:rsidP="005D5FBF">
      <w:pPr>
        <w:pStyle w:val="Heading5"/>
      </w:pPr>
      <w:r w:rsidRPr="005D5FBF">
        <w:t>Why it matters: Can eliminate capital gains tax on appreciation that occurred before inheritance.</w:t>
      </w:r>
    </w:p>
    <w:p w14:paraId="39D1787E" w14:textId="77777777" w:rsidR="005D5FBF" w:rsidRPr="005D5FBF" w:rsidRDefault="005D5FBF" w:rsidP="005D5FBF">
      <w:pPr>
        <w:pStyle w:val="Heading2"/>
      </w:pPr>
      <w:r w:rsidRPr="005D5FBF">
        <w:t>Estate Tax</w:t>
      </w:r>
    </w:p>
    <w:p w14:paraId="34083AD0" w14:textId="77777777" w:rsidR="005D5FBF" w:rsidRPr="005D5FBF" w:rsidRDefault="005D5FBF" w:rsidP="005D5FBF">
      <w:r w:rsidRPr="005D5FBF">
        <w:t>A federal tax on the transfer of the estate of a deceased person above a certain exemption threshold.</w:t>
      </w:r>
    </w:p>
    <w:p w14:paraId="3AC50A84" w14:textId="77777777" w:rsidR="005D5FBF" w:rsidRPr="005D5FBF" w:rsidRDefault="005D5FBF" w:rsidP="005D5FBF">
      <w:pPr>
        <w:pStyle w:val="Heading5"/>
      </w:pPr>
      <w:r w:rsidRPr="005D5FBF">
        <w:t>Why it matters: Proper planning can reduce or avoid estate taxes for high-value estates.</w:t>
      </w:r>
    </w:p>
    <w:p w14:paraId="11EF65D2" w14:textId="52EF0CB1" w:rsidR="00A53469" w:rsidRPr="00D7527D" w:rsidRDefault="00A53469" w:rsidP="005D5FBF">
      <w:pPr>
        <w:pStyle w:val="Heading2"/>
      </w:pPr>
    </w:p>
    <w:sectPr w:rsidR="00A53469" w:rsidRPr="00D7527D" w:rsidSect="00D96CE5">
      <w:footerReference w:type="default" r:id="rId8"/>
      <w:pgSz w:w="10440" w:h="15120" w:code="7"/>
      <w:pgMar w:top="1350" w:right="1440" w:bottom="1620" w:left="1440" w:header="720" w:footer="387"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A7EF2" w14:textId="77777777" w:rsidR="00FC2D96" w:rsidRDefault="00FC2D96" w:rsidP="005B537B">
      <w:r>
        <w:separator/>
      </w:r>
    </w:p>
  </w:endnote>
  <w:endnote w:type="continuationSeparator" w:id="0">
    <w:p w14:paraId="3CDFE1D9" w14:textId="77777777" w:rsidR="00FC2D96" w:rsidRDefault="00FC2D96" w:rsidP="005B5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Condensed">
    <w:panose1 w:val="020B0606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982116"/>
      <w:docPartObj>
        <w:docPartGallery w:val="Page Numbers (Bottom of Page)"/>
        <w:docPartUnique/>
      </w:docPartObj>
    </w:sdtPr>
    <w:sdtContent>
      <w:p w14:paraId="28BDFB72" w14:textId="77777777" w:rsidR="0041316B" w:rsidRPr="00D20304" w:rsidRDefault="0041316B" w:rsidP="008E222A">
        <w:pPr>
          <w:pStyle w:val="Footer"/>
          <w:pBdr>
            <w:top w:val="single" w:sz="4" w:space="1" w:color="47D459" w:themeColor="accent3" w:themeTint="99"/>
          </w:pBdr>
        </w:pPr>
        <w:r w:rsidRPr="00D20304">
          <w:t xml:space="preserve">Page </w:t>
        </w:r>
        <w:r w:rsidR="00C44270" w:rsidRPr="00D20304">
          <w:fldChar w:fldCharType="begin"/>
        </w:r>
        <w:r w:rsidRPr="00D20304">
          <w:instrText xml:space="preserve"> PAGE   \* MERGEFORMAT </w:instrText>
        </w:r>
        <w:r w:rsidR="00C44270" w:rsidRPr="00D20304">
          <w:fldChar w:fldCharType="separate"/>
        </w:r>
        <w:r w:rsidR="00951B1C">
          <w:rPr>
            <w:noProof/>
          </w:rPr>
          <w:t>4</w:t>
        </w:r>
        <w:r w:rsidR="00C44270" w:rsidRPr="00D20304">
          <w:fldChar w:fldCharType="end"/>
        </w:r>
        <w:r w:rsidRPr="00D20304">
          <w:t xml:space="preserve">  </w:t>
        </w:r>
        <w:r w:rsidRPr="00D20304">
          <w:sym w:font="Wingdings" w:char="F075"/>
        </w:r>
        <w:r w:rsidRPr="00D20304">
          <w:t xml:space="preserve">  </w:t>
        </w:r>
        <w:r w:rsidR="00956EEB">
          <w:t>Your Real Estate Advisor for Life!</w:t>
        </w:r>
      </w:p>
    </w:sdtContent>
  </w:sdt>
  <w:p w14:paraId="1B641A5C" w14:textId="77777777" w:rsidR="0041316B" w:rsidRDefault="0041316B" w:rsidP="005B5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E749D" w14:textId="77777777" w:rsidR="00FC2D96" w:rsidRDefault="00FC2D96" w:rsidP="005B537B">
      <w:r>
        <w:separator/>
      </w:r>
    </w:p>
  </w:footnote>
  <w:footnote w:type="continuationSeparator" w:id="0">
    <w:p w14:paraId="7497F794" w14:textId="77777777" w:rsidR="00FC2D96" w:rsidRDefault="00FC2D96" w:rsidP="005B53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51AD"/>
    <w:multiLevelType w:val="hybridMultilevel"/>
    <w:tmpl w:val="C9626B4A"/>
    <w:lvl w:ilvl="0" w:tplc="7A0C87B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8356F1"/>
    <w:multiLevelType w:val="hybridMultilevel"/>
    <w:tmpl w:val="4342C462"/>
    <w:lvl w:ilvl="0" w:tplc="08889B8E">
      <w:numFmt w:val="bullet"/>
      <w:lvlText w:val="•"/>
      <w:lvlJc w:val="left"/>
      <w:pPr>
        <w:ind w:left="72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7188B"/>
    <w:multiLevelType w:val="hybridMultilevel"/>
    <w:tmpl w:val="7904F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3E2223"/>
    <w:multiLevelType w:val="hybridMultilevel"/>
    <w:tmpl w:val="989E7B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47140CA"/>
    <w:multiLevelType w:val="multilevel"/>
    <w:tmpl w:val="94588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3C2DF4"/>
    <w:multiLevelType w:val="hybridMultilevel"/>
    <w:tmpl w:val="6C48A6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ED3220"/>
    <w:multiLevelType w:val="multilevel"/>
    <w:tmpl w:val="51FA6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125D65"/>
    <w:multiLevelType w:val="hybridMultilevel"/>
    <w:tmpl w:val="EF6EE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2930F2"/>
    <w:multiLevelType w:val="hybridMultilevel"/>
    <w:tmpl w:val="D08E9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A33F34"/>
    <w:multiLevelType w:val="hybridMultilevel"/>
    <w:tmpl w:val="4C20C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5EE06F8"/>
    <w:multiLevelType w:val="hybridMultilevel"/>
    <w:tmpl w:val="F6FE22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9D53291"/>
    <w:multiLevelType w:val="hybridMultilevel"/>
    <w:tmpl w:val="A86EFFFC"/>
    <w:lvl w:ilvl="0" w:tplc="135862E8">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CAC3A41"/>
    <w:multiLevelType w:val="hybridMultilevel"/>
    <w:tmpl w:val="2E5624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66D64EC"/>
    <w:multiLevelType w:val="hybridMultilevel"/>
    <w:tmpl w:val="0B58B22C"/>
    <w:lvl w:ilvl="0" w:tplc="08889B8E">
      <w:numFmt w:val="bullet"/>
      <w:lvlText w:val="•"/>
      <w:lvlJc w:val="left"/>
      <w:pPr>
        <w:ind w:left="720" w:hanging="72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2ED5C0E"/>
    <w:multiLevelType w:val="hybridMultilevel"/>
    <w:tmpl w:val="86B0A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0430E99"/>
    <w:multiLevelType w:val="hybridMultilevel"/>
    <w:tmpl w:val="2606083C"/>
    <w:lvl w:ilvl="0" w:tplc="AAECB23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285235D"/>
    <w:multiLevelType w:val="hybridMultilevel"/>
    <w:tmpl w:val="A4FE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1185260">
    <w:abstractNumId w:val="11"/>
  </w:num>
  <w:num w:numId="2" w16cid:durableId="212084071">
    <w:abstractNumId w:val="5"/>
  </w:num>
  <w:num w:numId="3" w16cid:durableId="341011082">
    <w:abstractNumId w:val="2"/>
  </w:num>
  <w:num w:numId="4" w16cid:durableId="1751925105">
    <w:abstractNumId w:val="9"/>
  </w:num>
  <w:num w:numId="5" w16cid:durableId="539512154">
    <w:abstractNumId w:val="10"/>
  </w:num>
  <w:num w:numId="6" w16cid:durableId="1578133292">
    <w:abstractNumId w:val="3"/>
  </w:num>
  <w:num w:numId="7" w16cid:durableId="1291548049">
    <w:abstractNumId w:val="14"/>
  </w:num>
  <w:num w:numId="8" w16cid:durableId="1711606082">
    <w:abstractNumId w:val="12"/>
  </w:num>
  <w:num w:numId="9" w16cid:durableId="654265305">
    <w:abstractNumId w:val="16"/>
  </w:num>
  <w:num w:numId="10" w16cid:durableId="965625540">
    <w:abstractNumId w:val="13"/>
  </w:num>
  <w:num w:numId="11" w16cid:durableId="2136945621">
    <w:abstractNumId w:val="8"/>
  </w:num>
  <w:num w:numId="12" w16cid:durableId="147132006">
    <w:abstractNumId w:val="0"/>
  </w:num>
  <w:num w:numId="13" w16cid:durableId="844248045">
    <w:abstractNumId w:val="1"/>
  </w:num>
  <w:num w:numId="14" w16cid:durableId="906234097">
    <w:abstractNumId w:val="15"/>
  </w:num>
  <w:num w:numId="15" w16cid:durableId="1040592428">
    <w:abstractNumId w:val="7"/>
  </w:num>
  <w:num w:numId="16" w16cid:durableId="1527715736">
    <w:abstractNumId w:val="4"/>
  </w:num>
  <w:num w:numId="17" w16cid:durableId="4650089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94F"/>
    <w:rsid w:val="000001EB"/>
    <w:rsid w:val="0008194F"/>
    <w:rsid w:val="00094682"/>
    <w:rsid w:val="00097266"/>
    <w:rsid w:val="000B404C"/>
    <w:rsid w:val="0012380F"/>
    <w:rsid w:val="001261CF"/>
    <w:rsid w:val="0016068D"/>
    <w:rsid w:val="00182CA9"/>
    <w:rsid w:val="00182E7C"/>
    <w:rsid w:val="0019093B"/>
    <w:rsid w:val="001C3731"/>
    <w:rsid w:val="0020779C"/>
    <w:rsid w:val="00214BE8"/>
    <w:rsid w:val="00235F46"/>
    <w:rsid w:val="00285C59"/>
    <w:rsid w:val="002A49F4"/>
    <w:rsid w:val="002C2A00"/>
    <w:rsid w:val="0035767A"/>
    <w:rsid w:val="00363000"/>
    <w:rsid w:val="003837E7"/>
    <w:rsid w:val="0038592A"/>
    <w:rsid w:val="00397E86"/>
    <w:rsid w:val="003C2460"/>
    <w:rsid w:val="0040393A"/>
    <w:rsid w:val="00405155"/>
    <w:rsid w:val="004100E3"/>
    <w:rsid w:val="00410322"/>
    <w:rsid w:val="0041316B"/>
    <w:rsid w:val="004367CF"/>
    <w:rsid w:val="0044718E"/>
    <w:rsid w:val="00450A37"/>
    <w:rsid w:val="004536C4"/>
    <w:rsid w:val="004B1749"/>
    <w:rsid w:val="004F4098"/>
    <w:rsid w:val="004F4D87"/>
    <w:rsid w:val="005017E3"/>
    <w:rsid w:val="00520F6D"/>
    <w:rsid w:val="005328FE"/>
    <w:rsid w:val="0057458A"/>
    <w:rsid w:val="005B537B"/>
    <w:rsid w:val="005C6BD4"/>
    <w:rsid w:val="005D5FBF"/>
    <w:rsid w:val="005F03FE"/>
    <w:rsid w:val="005F57DE"/>
    <w:rsid w:val="00604700"/>
    <w:rsid w:val="0061146A"/>
    <w:rsid w:val="0061263A"/>
    <w:rsid w:val="00634977"/>
    <w:rsid w:val="00653E8D"/>
    <w:rsid w:val="00657C1A"/>
    <w:rsid w:val="006769B9"/>
    <w:rsid w:val="006936D7"/>
    <w:rsid w:val="006B7C6C"/>
    <w:rsid w:val="006D6491"/>
    <w:rsid w:val="0073512D"/>
    <w:rsid w:val="00743A40"/>
    <w:rsid w:val="007514B4"/>
    <w:rsid w:val="00755061"/>
    <w:rsid w:val="00757E20"/>
    <w:rsid w:val="00763A61"/>
    <w:rsid w:val="007C4652"/>
    <w:rsid w:val="00827237"/>
    <w:rsid w:val="008530CC"/>
    <w:rsid w:val="00865BE8"/>
    <w:rsid w:val="00882AF7"/>
    <w:rsid w:val="008A1BFC"/>
    <w:rsid w:val="008E222A"/>
    <w:rsid w:val="008E52E1"/>
    <w:rsid w:val="00911D95"/>
    <w:rsid w:val="00920A6E"/>
    <w:rsid w:val="0092278B"/>
    <w:rsid w:val="00924BCC"/>
    <w:rsid w:val="00924D36"/>
    <w:rsid w:val="0094013C"/>
    <w:rsid w:val="00951B1C"/>
    <w:rsid w:val="00956EEB"/>
    <w:rsid w:val="009E5F4A"/>
    <w:rsid w:val="009F34D5"/>
    <w:rsid w:val="00A36718"/>
    <w:rsid w:val="00A53469"/>
    <w:rsid w:val="00A84A30"/>
    <w:rsid w:val="00AC7E72"/>
    <w:rsid w:val="00AE686D"/>
    <w:rsid w:val="00B73B21"/>
    <w:rsid w:val="00B87AC2"/>
    <w:rsid w:val="00BA4497"/>
    <w:rsid w:val="00BE3A77"/>
    <w:rsid w:val="00C0167A"/>
    <w:rsid w:val="00C24FA8"/>
    <w:rsid w:val="00C35E64"/>
    <w:rsid w:val="00C37EF8"/>
    <w:rsid w:val="00C427DE"/>
    <w:rsid w:val="00C44270"/>
    <w:rsid w:val="00CB7F81"/>
    <w:rsid w:val="00CC23BD"/>
    <w:rsid w:val="00CF3A8C"/>
    <w:rsid w:val="00D20304"/>
    <w:rsid w:val="00D56123"/>
    <w:rsid w:val="00D7527D"/>
    <w:rsid w:val="00D9315B"/>
    <w:rsid w:val="00D96CE5"/>
    <w:rsid w:val="00DA10C5"/>
    <w:rsid w:val="00DD61BB"/>
    <w:rsid w:val="00DE2290"/>
    <w:rsid w:val="00DF635A"/>
    <w:rsid w:val="00E034C5"/>
    <w:rsid w:val="00E2425E"/>
    <w:rsid w:val="00E40EE6"/>
    <w:rsid w:val="00E67FAC"/>
    <w:rsid w:val="00E81557"/>
    <w:rsid w:val="00E92B80"/>
    <w:rsid w:val="00E97C01"/>
    <w:rsid w:val="00EB0C3D"/>
    <w:rsid w:val="00ED5187"/>
    <w:rsid w:val="00EE3619"/>
    <w:rsid w:val="00EE440A"/>
    <w:rsid w:val="00F11634"/>
    <w:rsid w:val="00F11C08"/>
    <w:rsid w:val="00F15529"/>
    <w:rsid w:val="00F1750D"/>
    <w:rsid w:val="00F60C06"/>
    <w:rsid w:val="00F67876"/>
    <w:rsid w:val="00F842DB"/>
    <w:rsid w:val="00FC2D96"/>
    <w:rsid w:val="00FD6748"/>
    <w:rsid w:val="00FE4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16993"/>
  <w15:docId w15:val="{9C8EE186-A162-4F2C-AD8E-55B436DA5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CE5"/>
    <w:pPr>
      <w:spacing w:after="240"/>
    </w:pPr>
    <w:rPr>
      <w:rFonts w:ascii="Calibri" w:hAnsi="Calibri"/>
      <w:sz w:val="26"/>
    </w:rPr>
  </w:style>
  <w:style w:type="paragraph" w:styleId="Heading1">
    <w:name w:val="heading 1"/>
    <w:basedOn w:val="Normal"/>
    <w:next w:val="Normal"/>
    <w:link w:val="Heading1Char"/>
    <w:uiPriority w:val="9"/>
    <w:qFormat/>
    <w:rsid w:val="00AC7E72"/>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Cs w:val="22"/>
    </w:rPr>
  </w:style>
  <w:style w:type="paragraph" w:styleId="Heading2">
    <w:name w:val="heading 2"/>
    <w:basedOn w:val="Normal"/>
    <w:next w:val="Normal"/>
    <w:link w:val="Heading2Char"/>
    <w:uiPriority w:val="9"/>
    <w:unhideWhenUsed/>
    <w:qFormat/>
    <w:rsid w:val="00F15529"/>
    <w:pPr>
      <w:spacing w:before="360" w:after="0"/>
      <w:jc w:val="center"/>
      <w:outlineLvl w:val="1"/>
    </w:pPr>
    <w:rPr>
      <w:b/>
      <w:bCs/>
      <w:caps/>
      <w:color w:val="E97132" w:themeColor="accent2"/>
      <w:spacing w:val="15"/>
      <w:sz w:val="32"/>
      <w:szCs w:val="24"/>
    </w:rPr>
  </w:style>
  <w:style w:type="paragraph" w:styleId="Heading3">
    <w:name w:val="heading 3"/>
    <w:basedOn w:val="Normal"/>
    <w:next w:val="Normal"/>
    <w:link w:val="Heading3Char"/>
    <w:uiPriority w:val="9"/>
    <w:unhideWhenUsed/>
    <w:qFormat/>
    <w:rsid w:val="00F1750D"/>
    <w:pPr>
      <w:pBdr>
        <w:top w:val="single" w:sz="4" w:space="2" w:color="156082" w:themeColor="accent1"/>
      </w:pBdr>
      <w:spacing w:before="300" w:after="0"/>
      <w:outlineLvl w:val="2"/>
    </w:pPr>
    <w:rPr>
      <w:b/>
      <w:caps/>
      <w:color w:val="0A2F40" w:themeColor="accent1" w:themeShade="7F"/>
      <w:spacing w:val="15"/>
    </w:rPr>
  </w:style>
  <w:style w:type="paragraph" w:styleId="Heading4">
    <w:name w:val="heading 4"/>
    <w:basedOn w:val="Normal"/>
    <w:next w:val="Normal"/>
    <w:link w:val="Heading4Char"/>
    <w:uiPriority w:val="9"/>
    <w:unhideWhenUsed/>
    <w:qFormat/>
    <w:rsid w:val="00AC7E72"/>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IntenseQuote"/>
    <w:next w:val="Normal"/>
    <w:link w:val="Heading5Char"/>
    <w:uiPriority w:val="9"/>
    <w:unhideWhenUsed/>
    <w:qFormat/>
    <w:rsid w:val="00F15529"/>
    <w:pPr>
      <w:ind w:left="810" w:right="900"/>
      <w:outlineLvl w:val="4"/>
    </w:pPr>
  </w:style>
  <w:style w:type="paragraph" w:styleId="Heading6">
    <w:name w:val="heading 6"/>
    <w:basedOn w:val="Normal"/>
    <w:next w:val="Normal"/>
    <w:link w:val="Heading6Char"/>
    <w:uiPriority w:val="9"/>
    <w:semiHidden/>
    <w:unhideWhenUsed/>
    <w:qFormat/>
    <w:rsid w:val="00AC7E72"/>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AC7E72"/>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AC7E72"/>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C7E72"/>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C7E72"/>
    <w:pPr>
      <w:pBdr>
        <w:top w:val="single" w:sz="4" w:space="4" w:color="47D459" w:themeColor="accent3" w:themeTint="99"/>
        <w:bottom w:val="single" w:sz="4" w:space="1" w:color="47D459" w:themeColor="accent3" w:themeTint="99"/>
      </w:pBdr>
      <w:spacing w:before="0" w:after="0" w:line="240" w:lineRule="auto"/>
    </w:pPr>
    <w:rPr>
      <w:rFonts w:asciiTheme="majorHAnsi" w:eastAsiaTheme="majorEastAsia" w:hAnsiTheme="majorHAnsi" w:cstheme="majorBidi"/>
      <w:b/>
      <w:caps/>
      <w:color w:val="156082" w:themeColor="accent1"/>
      <w:spacing w:val="10"/>
      <w:sz w:val="56"/>
      <w:szCs w:val="56"/>
    </w:rPr>
  </w:style>
  <w:style w:type="character" w:customStyle="1" w:styleId="TitleChar">
    <w:name w:val="Title Char"/>
    <w:basedOn w:val="DefaultParagraphFont"/>
    <w:link w:val="Title"/>
    <w:uiPriority w:val="10"/>
    <w:rsid w:val="00AC7E72"/>
    <w:rPr>
      <w:rFonts w:asciiTheme="majorHAnsi" w:eastAsiaTheme="majorEastAsia" w:hAnsiTheme="majorHAnsi" w:cstheme="majorBidi"/>
      <w:b/>
      <w:caps/>
      <w:color w:val="156082" w:themeColor="accent1"/>
      <w:spacing w:val="10"/>
      <w:sz w:val="56"/>
      <w:szCs w:val="56"/>
    </w:rPr>
  </w:style>
  <w:style w:type="character" w:customStyle="1" w:styleId="Heading1Char">
    <w:name w:val="Heading 1 Char"/>
    <w:basedOn w:val="DefaultParagraphFont"/>
    <w:link w:val="Heading1"/>
    <w:uiPriority w:val="9"/>
    <w:rsid w:val="00AC7E72"/>
    <w:rPr>
      <w:caps/>
      <w:color w:val="FFFFFF" w:themeColor="background1"/>
      <w:spacing w:val="15"/>
      <w:sz w:val="22"/>
      <w:szCs w:val="22"/>
      <w:shd w:val="clear" w:color="auto" w:fill="156082" w:themeFill="accent1"/>
    </w:rPr>
  </w:style>
  <w:style w:type="paragraph" w:styleId="NormalWeb">
    <w:name w:val="Normal (Web)"/>
    <w:basedOn w:val="Normal"/>
    <w:uiPriority w:val="99"/>
    <w:semiHidden/>
    <w:unhideWhenUsed/>
    <w:rsid w:val="0008194F"/>
    <w:rPr>
      <w:rFonts w:ascii="Times New Roman" w:hAnsi="Times New Roman" w:cs="Times New Roman"/>
      <w:szCs w:val="24"/>
    </w:rPr>
  </w:style>
  <w:style w:type="paragraph" w:styleId="Header">
    <w:name w:val="header"/>
    <w:basedOn w:val="Normal"/>
    <w:link w:val="HeaderChar"/>
    <w:uiPriority w:val="99"/>
    <w:unhideWhenUsed/>
    <w:rsid w:val="00D203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304"/>
    <w:rPr>
      <w:sz w:val="25"/>
    </w:rPr>
  </w:style>
  <w:style w:type="paragraph" w:styleId="Footer">
    <w:name w:val="footer"/>
    <w:basedOn w:val="Normal"/>
    <w:link w:val="FooterChar"/>
    <w:uiPriority w:val="99"/>
    <w:unhideWhenUsed/>
    <w:rsid w:val="00D203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304"/>
    <w:rPr>
      <w:sz w:val="25"/>
    </w:rPr>
  </w:style>
  <w:style w:type="character" w:customStyle="1" w:styleId="Heading2Char">
    <w:name w:val="Heading 2 Char"/>
    <w:basedOn w:val="DefaultParagraphFont"/>
    <w:link w:val="Heading2"/>
    <w:uiPriority w:val="9"/>
    <w:rsid w:val="00F15529"/>
    <w:rPr>
      <w:rFonts w:ascii="Calibri" w:hAnsi="Calibri"/>
      <w:b/>
      <w:bCs/>
      <w:caps/>
      <w:color w:val="E97132" w:themeColor="accent2"/>
      <w:spacing w:val="15"/>
      <w:sz w:val="32"/>
      <w:szCs w:val="24"/>
    </w:rPr>
  </w:style>
  <w:style w:type="table" w:styleId="TableGrid">
    <w:name w:val="Table Grid"/>
    <w:basedOn w:val="TableNormal"/>
    <w:uiPriority w:val="59"/>
    <w:rsid w:val="00D7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C7E72"/>
    <w:rPr>
      <w:b/>
      <w:bCs/>
    </w:rPr>
  </w:style>
  <w:style w:type="character" w:customStyle="1" w:styleId="Heading3Char">
    <w:name w:val="Heading 3 Char"/>
    <w:basedOn w:val="DefaultParagraphFont"/>
    <w:link w:val="Heading3"/>
    <w:uiPriority w:val="9"/>
    <w:rsid w:val="00F1750D"/>
    <w:rPr>
      <w:rFonts w:ascii="Calibri" w:hAnsi="Calibri"/>
      <w:b/>
      <w:caps/>
      <w:color w:val="0A2F40" w:themeColor="accent1" w:themeShade="7F"/>
      <w:spacing w:val="15"/>
      <w:sz w:val="22"/>
    </w:rPr>
  </w:style>
  <w:style w:type="character" w:customStyle="1" w:styleId="Heading4Char">
    <w:name w:val="Heading 4 Char"/>
    <w:basedOn w:val="DefaultParagraphFont"/>
    <w:link w:val="Heading4"/>
    <w:uiPriority w:val="9"/>
    <w:rsid w:val="00AC7E72"/>
    <w:rPr>
      <w:caps/>
      <w:color w:val="0F4761" w:themeColor="accent1" w:themeShade="BF"/>
      <w:spacing w:val="10"/>
    </w:rPr>
  </w:style>
  <w:style w:type="character" w:customStyle="1" w:styleId="Heading5Char">
    <w:name w:val="Heading 5 Char"/>
    <w:basedOn w:val="DefaultParagraphFont"/>
    <w:link w:val="Heading5"/>
    <w:uiPriority w:val="9"/>
    <w:rsid w:val="00F15529"/>
    <w:rPr>
      <w:rFonts w:ascii="Calibri" w:hAnsi="Calibri"/>
      <w:color w:val="156082" w:themeColor="accent1"/>
      <w:sz w:val="24"/>
      <w:szCs w:val="24"/>
    </w:rPr>
  </w:style>
  <w:style w:type="character" w:customStyle="1" w:styleId="Heading6Char">
    <w:name w:val="Heading 6 Char"/>
    <w:basedOn w:val="DefaultParagraphFont"/>
    <w:link w:val="Heading6"/>
    <w:uiPriority w:val="9"/>
    <w:semiHidden/>
    <w:rsid w:val="00AC7E72"/>
    <w:rPr>
      <w:caps/>
      <w:color w:val="0F4761" w:themeColor="accent1" w:themeShade="BF"/>
      <w:spacing w:val="10"/>
    </w:rPr>
  </w:style>
  <w:style w:type="character" w:customStyle="1" w:styleId="Heading7Char">
    <w:name w:val="Heading 7 Char"/>
    <w:basedOn w:val="DefaultParagraphFont"/>
    <w:link w:val="Heading7"/>
    <w:uiPriority w:val="9"/>
    <w:semiHidden/>
    <w:rsid w:val="00AC7E72"/>
    <w:rPr>
      <w:caps/>
      <w:color w:val="0F4761" w:themeColor="accent1" w:themeShade="BF"/>
      <w:spacing w:val="10"/>
    </w:rPr>
  </w:style>
  <w:style w:type="character" w:customStyle="1" w:styleId="Heading8Char">
    <w:name w:val="Heading 8 Char"/>
    <w:basedOn w:val="DefaultParagraphFont"/>
    <w:link w:val="Heading8"/>
    <w:uiPriority w:val="9"/>
    <w:semiHidden/>
    <w:rsid w:val="00AC7E72"/>
    <w:rPr>
      <w:caps/>
      <w:spacing w:val="10"/>
      <w:sz w:val="18"/>
      <w:szCs w:val="18"/>
    </w:rPr>
  </w:style>
  <w:style w:type="character" w:customStyle="1" w:styleId="Heading9Char">
    <w:name w:val="Heading 9 Char"/>
    <w:basedOn w:val="DefaultParagraphFont"/>
    <w:link w:val="Heading9"/>
    <w:uiPriority w:val="9"/>
    <w:semiHidden/>
    <w:rsid w:val="00AC7E72"/>
    <w:rPr>
      <w:i/>
      <w:iCs/>
      <w:caps/>
      <w:spacing w:val="10"/>
      <w:sz w:val="18"/>
      <w:szCs w:val="18"/>
    </w:rPr>
  </w:style>
  <w:style w:type="paragraph" w:styleId="Caption">
    <w:name w:val="caption"/>
    <w:basedOn w:val="Normal"/>
    <w:next w:val="Normal"/>
    <w:uiPriority w:val="35"/>
    <w:semiHidden/>
    <w:unhideWhenUsed/>
    <w:qFormat/>
    <w:rsid w:val="00AC7E72"/>
    <w:rPr>
      <w:b/>
      <w:bCs/>
      <w:color w:val="0F4761" w:themeColor="accent1" w:themeShade="BF"/>
      <w:sz w:val="16"/>
      <w:szCs w:val="16"/>
    </w:rPr>
  </w:style>
  <w:style w:type="paragraph" w:styleId="Subtitle">
    <w:name w:val="Subtitle"/>
    <w:basedOn w:val="Normal"/>
    <w:next w:val="Normal"/>
    <w:link w:val="SubtitleChar"/>
    <w:uiPriority w:val="11"/>
    <w:qFormat/>
    <w:rsid w:val="00AC7E72"/>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AC7E72"/>
    <w:rPr>
      <w:caps/>
      <w:color w:val="595959" w:themeColor="text1" w:themeTint="A6"/>
      <w:spacing w:val="10"/>
      <w:sz w:val="21"/>
      <w:szCs w:val="21"/>
    </w:rPr>
  </w:style>
  <w:style w:type="character" w:styleId="Emphasis">
    <w:name w:val="Emphasis"/>
    <w:uiPriority w:val="20"/>
    <w:qFormat/>
    <w:rsid w:val="00AC7E72"/>
    <w:rPr>
      <w:caps/>
      <w:color w:val="0A2F40" w:themeColor="accent1" w:themeShade="7F"/>
      <w:spacing w:val="5"/>
    </w:rPr>
  </w:style>
  <w:style w:type="paragraph" w:styleId="NoSpacing">
    <w:name w:val="No Spacing"/>
    <w:uiPriority w:val="1"/>
    <w:qFormat/>
    <w:rsid w:val="00AC7E72"/>
    <w:pPr>
      <w:spacing w:after="0" w:line="240" w:lineRule="auto"/>
    </w:pPr>
  </w:style>
  <w:style w:type="paragraph" w:styleId="Quote">
    <w:name w:val="Quote"/>
    <w:basedOn w:val="Normal"/>
    <w:next w:val="Normal"/>
    <w:link w:val="QuoteChar"/>
    <w:uiPriority w:val="29"/>
    <w:qFormat/>
    <w:rsid w:val="00AC7E72"/>
    <w:rPr>
      <w:i/>
      <w:iCs/>
      <w:szCs w:val="24"/>
    </w:rPr>
  </w:style>
  <w:style w:type="character" w:customStyle="1" w:styleId="QuoteChar">
    <w:name w:val="Quote Char"/>
    <w:basedOn w:val="DefaultParagraphFont"/>
    <w:link w:val="Quote"/>
    <w:uiPriority w:val="29"/>
    <w:rsid w:val="00AC7E72"/>
    <w:rPr>
      <w:i/>
      <w:iCs/>
      <w:sz w:val="24"/>
      <w:szCs w:val="24"/>
    </w:rPr>
  </w:style>
  <w:style w:type="paragraph" w:styleId="IntenseQuote">
    <w:name w:val="Intense Quote"/>
    <w:basedOn w:val="Normal"/>
    <w:next w:val="Normal"/>
    <w:link w:val="IntenseQuoteChar"/>
    <w:uiPriority w:val="30"/>
    <w:qFormat/>
    <w:rsid w:val="00AC7E72"/>
    <w:pPr>
      <w:spacing w:before="240" w:line="240" w:lineRule="auto"/>
      <w:ind w:left="1080" w:right="1080"/>
      <w:jc w:val="center"/>
    </w:pPr>
    <w:rPr>
      <w:color w:val="156082" w:themeColor="accent1"/>
      <w:szCs w:val="24"/>
    </w:rPr>
  </w:style>
  <w:style w:type="character" w:customStyle="1" w:styleId="IntenseQuoteChar">
    <w:name w:val="Intense Quote Char"/>
    <w:basedOn w:val="DefaultParagraphFont"/>
    <w:link w:val="IntenseQuote"/>
    <w:uiPriority w:val="30"/>
    <w:rsid w:val="00AC7E72"/>
    <w:rPr>
      <w:color w:val="156082" w:themeColor="accent1"/>
      <w:sz w:val="24"/>
      <w:szCs w:val="24"/>
    </w:rPr>
  </w:style>
  <w:style w:type="character" w:styleId="SubtleEmphasis">
    <w:name w:val="Subtle Emphasis"/>
    <w:uiPriority w:val="19"/>
    <w:qFormat/>
    <w:rsid w:val="00AC7E72"/>
    <w:rPr>
      <w:i/>
      <w:iCs/>
      <w:color w:val="0A2F40" w:themeColor="accent1" w:themeShade="7F"/>
    </w:rPr>
  </w:style>
  <w:style w:type="character" w:styleId="IntenseEmphasis">
    <w:name w:val="Intense Emphasis"/>
    <w:uiPriority w:val="21"/>
    <w:qFormat/>
    <w:rsid w:val="00AC7E72"/>
    <w:rPr>
      <w:b/>
      <w:bCs/>
      <w:caps/>
      <w:color w:val="0A2F40" w:themeColor="accent1" w:themeShade="7F"/>
      <w:spacing w:val="10"/>
    </w:rPr>
  </w:style>
  <w:style w:type="character" w:styleId="SubtleReference">
    <w:name w:val="Subtle Reference"/>
    <w:uiPriority w:val="31"/>
    <w:qFormat/>
    <w:rsid w:val="00AC7E72"/>
    <w:rPr>
      <w:b/>
      <w:bCs/>
      <w:color w:val="156082" w:themeColor="accent1"/>
    </w:rPr>
  </w:style>
  <w:style w:type="character" w:styleId="IntenseReference">
    <w:name w:val="Intense Reference"/>
    <w:uiPriority w:val="32"/>
    <w:qFormat/>
    <w:rsid w:val="00AC7E72"/>
    <w:rPr>
      <w:b/>
      <w:bCs/>
      <w:i/>
      <w:iCs/>
      <w:caps/>
      <w:color w:val="156082" w:themeColor="accent1"/>
    </w:rPr>
  </w:style>
  <w:style w:type="character" w:styleId="BookTitle">
    <w:name w:val="Book Title"/>
    <w:uiPriority w:val="33"/>
    <w:qFormat/>
    <w:rsid w:val="00AC7E72"/>
    <w:rPr>
      <w:b/>
      <w:bCs/>
      <w:i/>
      <w:iCs/>
      <w:spacing w:val="0"/>
    </w:rPr>
  </w:style>
  <w:style w:type="paragraph" w:styleId="TOCHeading">
    <w:name w:val="TOC Heading"/>
    <w:basedOn w:val="Heading1"/>
    <w:next w:val="Normal"/>
    <w:uiPriority w:val="39"/>
    <w:unhideWhenUsed/>
    <w:qFormat/>
    <w:rsid w:val="00AC7E72"/>
    <w:pPr>
      <w:outlineLvl w:val="9"/>
    </w:pPr>
  </w:style>
  <w:style w:type="paragraph" w:styleId="ListParagraph">
    <w:name w:val="List Paragraph"/>
    <w:basedOn w:val="Normal"/>
    <w:qFormat/>
    <w:rsid w:val="00410322"/>
    <w:pPr>
      <w:numPr>
        <w:numId w:val="1"/>
      </w:numPr>
      <w:spacing w:before="0"/>
      <w:contextualSpacing/>
    </w:pPr>
    <w:rPr>
      <w:rFonts w:eastAsiaTheme="minorHAnsi"/>
      <w:szCs w:val="22"/>
    </w:rPr>
  </w:style>
  <w:style w:type="paragraph" w:styleId="TOC2">
    <w:name w:val="toc 2"/>
    <w:basedOn w:val="Normal"/>
    <w:next w:val="Normal"/>
    <w:autoRedefine/>
    <w:uiPriority w:val="39"/>
    <w:unhideWhenUsed/>
    <w:rsid w:val="00235F46"/>
    <w:pPr>
      <w:spacing w:after="100"/>
      <w:ind w:left="240"/>
    </w:pPr>
  </w:style>
  <w:style w:type="paragraph" w:styleId="TOC1">
    <w:name w:val="toc 1"/>
    <w:basedOn w:val="Normal"/>
    <w:next w:val="Normal"/>
    <w:autoRedefine/>
    <w:uiPriority w:val="39"/>
    <w:unhideWhenUsed/>
    <w:rsid w:val="00235F46"/>
    <w:pPr>
      <w:spacing w:after="100"/>
    </w:pPr>
  </w:style>
  <w:style w:type="paragraph" w:styleId="TOC3">
    <w:name w:val="toc 3"/>
    <w:basedOn w:val="Normal"/>
    <w:next w:val="Normal"/>
    <w:autoRedefine/>
    <w:uiPriority w:val="39"/>
    <w:unhideWhenUsed/>
    <w:rsid w:val="00235F46"/>
    <w:pPr>
      <w:spacing w:after="100"/>
      <w:ind w:left="480"/>
    </w:pPr>
  </w:style>
  <w:style w:type="character" w:styleId="Hyperlink">
    <w:name w:val="Hyperlink"/>
    <w:basedOn w:val="DefaultParagraphFont"/>
    <w:uiPriority w:val="99"/>
    <w:unhideWhenUsed/>
    <w:rsid w:val="00235F4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F38683-4D80-4349-80D1-47E411815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834</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dc:creator>
  <cp:lastModifiedBy>Linda Schneider</cp:lastModifiedBy>
  <cp:revision>7</cp:revision>
  <cp:lastPrinted>2025-09-12T22:29:00Z</cp:lastPrinted>
  <dcterms:created xsi:type="dcterms:W3CDTF">2025-08-14T21:03:00Z</dcterms:created>
  <dcterms:modified xsi:type="dcterms:W3CDTF">2025-09-12T22:31:00Z</dcterms:modified>
</cp:coreProperties>
</file>